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</w:p>
    <w:p>
      <w:pPr>
        <w:pStyle w:val="Rubrik 1"/>
        <w:bidi w:val="0"/>
      </w:pPr>
      <w:r>
        <w:rPr>
          <w:rtl w:val="0"/>
        </w:rPr>
        <w:t xml:space="preserve">Yttrande </w:t>
      </w:r>
      <w:r>
        <w:rPr>
          <w:rtl w:val="0"/>
        </w:rPr>
        <w:t>ö</w:t>
      </w:r>
      <w:r>
        <w:rPr>
          <w:rtl w:val="0"/>
        </w:rPr>
        <w:t>ver SOU 2020:69</w:t>
      </w:r>
    </w:p>
    <w:p>
      <w:pPr>
        <w:pStyle w:val="Brödtext"/>
        <w:bidi w:val="0"/>
      </w:pPr>
      <w:r>
        <w:rPr>
          <w:rtl w:val="0"/>
          <w:lang w:val="sv-SE"/>
        </w:rPr>
        <w:t>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mstad akademi har beretts tillf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lle att yttra sig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slutbet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nkande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Delegationen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senior arbetskraft SOU 2020:69 och vi vill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rmed framf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ljande.</w:t>
      </w:r>
    </w:p>
    <w:p>
      <w:pPr>
        <w:pStyle w:val="Brödtext"/>
        <w:bidi w:val="0"/>
      </w:pPr>
      <w:r>
        <w:rPr>
          <w:rtl w:val="0"/>
          <w:lang w:val="sv-SE"/>
        </w:rPr>
        <w:t>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mstad akademi</w:t>
      </w:r>
      <w:r>
        <w:rPr>
          <w:rtl w:val="0"/>
          <w:lang w:val="sv-SE"/>
        </w:rPr>
        <w:t xml:space="preserve">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rjade 2008 som en sammanslutning av seniora forskare som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mnat sin modersinstitution antingen genom tv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ngspensionering eller av fri vilja. De fick en hemvist de kunde 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 i sin fortsatta forskning. Tillkomsten beskrivs i en uppsats av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rre rektorn, Lars Broman:</w:t>
      </w:r>
      <w:r>
        <w:rPr>
          <w:outline w:val="0"/>
          <w:color w:val="0432ff"/>
          <w:rtl w:val="0"/>
          <w:lang w:val="sv-SE"/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"http://stromstadakademi.se/Histbakom.pdf"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http://stromstadakademi.se/Histbakom.pdf</w:t>
      </w:r>
      <w:r>
        <w:rPr/>
        <w:fldChar w:fldCharType="end" w:fldLock="0"/>
      </w:r>
      <w:r>
        <w:rPr>
          <w:rtl w:val="0"/>
          <w:lang w:val="sv-SE"/>
        </w:rPr>
        <w:t xml:space="preserve"> Under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rens lopp har vi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tagit in icke-seniora forskare som uttryckt intresse av att vara ledam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ter. Vi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rmande ca 160 personer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14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nder och representerar 88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mnen. 70 stycken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professorer, 30 docenter, 13 hedersprofessorer (varav 4 nobelpristagare), 33 lektorer och resten andra forskare. Vi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lunda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gt kvalificerade och erfarna forskare, de flesta har forskat i minst 30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och vi representerar sammanlagt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3 500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rs forskningserfarenhet. Vi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rdiga med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karri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rer och kan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samarbeta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prestigel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 och tv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rvetenskapligt. </w:t>
      </w:r>
    </w:p>
    <w:p>
      <w:pPr>
        <w:pStyle w:val="Brödtext"/>
        <w:bidi w:val="0"/>
      </w:pPr>
      <w:r>
        <w:rPr>
          <w:rtl w:val="0"/>
          <w:lang w:val="sv-SE"/>
        </w:rPr>
        <w:t xml:space="preserve">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med stort intresse vi tagit del av slutbet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nkandet. Omr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gst relevant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oss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flertalet av seniorerna har blivit tv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ngspensionerade av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moderinstitut. 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med utl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ndska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ros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detta exceptionellt och delegationen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pekar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Sverige behandlar sina seniorer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d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ligt. Det finns 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forskare som vid 97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rs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lder fick nobelpriset och fortfarande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aktiva. I Sverige finns det 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rldsledande forskare som mitt i en konferens,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 var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rdar blev avst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ngda helt enkelt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de 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kade fylla 68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r! </w:t>
      </w:r>
    </w:p>
    <w:p>
      <w:pPr>
        <w:pStyle w:val="Brödtext"/>
        <w:bidi w:val="0"/>
      </w:pPr>
      <w:r>
        <w:rPr>
          <w:rtl w:val="0"/>
          <w:lang w:val="sv-SE"/>
        </w:rPr>
        <w:t>Vi representerar en till antalet liten grupp, men till betydelse desto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rre. Delegationen har inte speciellt tagit upp problemen med de som av regelverk eller tradition tvingas g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i pension, vilket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synd,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tusentals universitets- och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gskoleanst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llda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inte lov att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 arbeta fast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de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vill och kan. Dagens 70-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ringar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70-talets 50-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ringar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ger delegation, men det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som sagt inte professorer och andra extremt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gt utbildade. Vid 67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rs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lder anses de alltf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senila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ens kunna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examinera de enklaste nyb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rjarkurser.</w:t>
      </w:r>
    </w:p>
    <w:p>
      <w:pPr>
        <w:pStyle w:val="Brödtext"/>
        <w:bidi w:val="0"/>
      </w:pPr>
      <w:r>
        <w:rPr>
          <w:rtl w:val="0"/>
          <w:lang w:val="sv-SE"/>
        </w:rPr>
        <w:t>Nu kan man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vda att som senior har ju professorn sin pension, ofta en hygglig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dan, och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fri att forska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vad han eller hon vill. Men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enkelt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inte. Om en professor vill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 in en artikel till en tidskrift,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ste han eller hon ange en hemvist, en affiliation,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organisation vederb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tillh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r. 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mstad akademi kan tj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 som en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dan. Blir artikeln antagen,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professorn betala 20-30 000 kr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den publicerad. Detta kan inte 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mstad akademi bidra med eftersom vi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helt ideell organisation med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medlemsavgifter som enda inkomstk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bedriva forskning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vs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redskap i form av bibliotek, databaser och laboratorier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naturvetare. Allt detta kostar massor av pengar som varken 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mstad akademi eller den enskilde forskaren har. Bet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nker man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de personer som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ntas dessa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jligheter har kvar sin fulla intellektuella kapacitet och dessutom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 erfarenhet, inser man att handlar om kvalificerad kapitalf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relse.</w:t>
      </w:r>
    </w:p>
    <w:p>
      <w:pPr>
        <w:pStyle w:val="Brödtext"/>
        <w:bidi w:val="0"/>
      </w:pPr>
      <w:r>
        <w:rPr>
          <w:rtl w:val="0"/>
          <w:lang w:val="sv-SE"/>
        </w:rPr>
        <w:t>En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sning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detta problem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att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ndra regelverket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seniorer att arbeta kvar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sin arbetsplats med reducerad eller rent av obefintlig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 om de s</w:t>
      </w:r>
      <w:r>
        <w:rPr>
          <w:rtl w:val="0"/>
          <w:lang w:val="sv-SE"/>
        </w:rPr>
        <w:t>å ö</w:t>
      </w:r>
      <w:r>
        <w:rPr>
          <w:rtl w:val="0"/>
          <w:lang w:val="sv-SE"/>
        </w:rPr>
        <w:t>nskar. En annan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sning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att ta tillvara id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 om flera karri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rer under livstiden och skapa en forskningsinstitution baserad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rvetenskap, dit de forskare kan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sig som efter sin universitets/h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gskolekarri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i samarbete med likasinnade kan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gna sig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fri och tv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rvetenskaplig forskning. Ett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dant institut finns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 redan och heter 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mstad akademi. </w:t>
      </w:r>
    </w:p>
    <w:p>
      <w:pPr>
        <w:pStyle w:val="Brödtext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11424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142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Fonts w:ascii="Helvetica Light" w:hAnsi="Helvetica Light"/>
        <w:sz w:val="20"/>
        <w:szCs w:val="20"/>
      </w:rPr>
      <w:tab/>
    </w:r>
    <w:r>
      <w:rPr>
        <w:rFonts w:ascii="Helvetica Light" w:hAnsi="Helvetica Light"/>
        <w:sz w:val="20"/>
        <w:szCs w:val="20"/>
      </w:rPr>
      <w:fldChar w:fldCharType="begin" w:fldLock="0"/>
    </w:r>
    <w:r>
      <w:rPr>
        <w:rFonts w:ascii="Helvetica Light" w:hAnsi="Helvetica Light"/>
        <w:sz w:val="20"/>
        <w:szCs w:val="20"/>
      </w:rPr>
      <w:instrText xml:space="preserve"> PAGE </w:instrText>
    </w:r>
    <w:r>
      <w:rPr>
        <w:rFonts w:ascii="Helvetica Light" w:hAnsi="Helvetica Light"/>
        <w:sz w:val="20"/>
        <w:szCs w:val="20"/>
      </w:rPr>
      <w:fldChar w:fldCharType="separate" w:fldLock="0"/>
    </w:r>
    <w:r>
      <w:rPr>
        <w:rFonts w:ascii="Helvetica Light" w:hAnsi="Helvetica Light"/>
        <w:sz w:val="20"/>
        <w:szCs w:val="20"/>
      </w:rPr>
    </w:r>
    <w:r>
      <w:rPr>
        <w:rFonts w:ascii="Helvetica Light" w:hAnsi="Helvetica Light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Optima" w:cs="Arial Unicode MS" w:hAnsi="Opti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 1">
    <w:name w:val="Rubrik 1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24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a5783a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A6793A"/>
        </w14:solidFill>
      </w14:textFill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Optima"/>
            <a:ea typeface="Optima"/>
            <a:cs typeface="Optima"/>
            <a:sym typeface="Opti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